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jc w:val="center"/>
      </w:pPr>
      <w:r>
        <w:rPr>
          <w:rFonts w:ascii="Calibri" w:cs="Calibri" w:eastAsia="Calibri" w:hAnsi="Calibri"/>
          <w:b/>
          <w:bCs/>
          <w:i w:val="false"/>
          <w:iCs w:val="false"/>
          <w:color w:val="000000"/>
          <w:sz w:val="44"/>
          <w:szCs w:val="44"/>
        </w:rPr>
        <w:t xml:space="preserve">ACCESSIBILITY STATEMENT</w:t>
      </w:r>
    </w:p>
    <w:p>
      <w:pPr>
        <w:spacing w:after="80" w:before="0"/>
        <w:jc w:val="center"/>
      </w:pPr>
      <w:r>
        <w:rPr>
          <w:rFonts w:ascii="Calibri" w:cs="Calibri" w:eastAsia="Calibri" w:hAnsi="Calibri"/>
          <w:b w:val="false"/>
          <w:bCs w:val="false"/>
          <w:i/>
          <w:iCs/>
          <w:color w:val="1f3864"/>
          <w:sz w:val="26"/>
          <w:szCs w:val="26"/>
        </w:rPr>
        <w:t xml:space="preserve">BGS Acme Retail Co.</w:t>
      </w:r>
    </w:p>
    <w:p>
      <w:pPr>
        <w:spacing w:after="400" w:before="0"/>
        <w:jc w:val="center"/>
      </w:pPr>
      <w:r>
        <w:rPr>
          <w:rFonts w:ascii="Calibri" w:cs="Calibri" w:eastAsia="Calibri" w:hAnsi="Calibri"/>
          <w:b w:val="false"/>
          <w:bCs w:val="false"/>
          <w:i w:val="false"/>
          <w:iCs w:val="false"/>
          <w:color w:val="1a6ebd"/>
          <w:sz w:val="20"/>
          <w:szCs w:val="20"/>
        </w:rPr>
        <w:t xml:space="preserve">bgs-acme-retail-co.vercel.app</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dxa" w:w="2268"/>
            <w:shd w:fill="F5F5F5" w:color="auto" w:val="clear"/>
            <w:tcMar>
              <w:top w:type="dxa" w:w="40"/>
              <w:left w:type="dxa" w:w="120"/>
              <w:bottom w:type="dxa" w:w="40"/>
              <w:right w:type="dxa" w:w="120"/>
            </w:tcMar>
          </w:tcPr>
          <w:p>
            <w:pPr>
              <w:spacing w:after="40" w:before="0"/>
              <w:jc w:val="left"/>
            </w:pPr>
            <w:r>
              <w:rPr>
                <w:rFonts w:ascii="Calibri" w:cs="Calibri" w:eastAsia="Calibri" w:hAnsi="Calibri"/>
                <w:b/>
                <w:bCs/>
                <w:i w:val="false"/>
                <w:iCs w:val="false"/>
                <w:color w:val="000000"/>
                <w:sz w:val="18"/>
                <w:szCs w:val="18"/>
              </w:rPr>
              <w:t xml:space="preserve">Organisation:</w:t>
            </w:r>
          </w:p>
        </w:tc>
        <w:tc>
          <w:tcPr>
            <w:tcMar>
              <w:top w:type="dxa" w:w="40"/>
              <w:left w:type="dxa" w:w="120"/>
              <w:bottom w:type="dxa" w:w="40"/>
              <w:right w:type="dxa" w:w="120"/>
            </w:tcMar>
          </w:tcPr>
          <w:p>
            <w:pPr>
              <w:spacing w:after="40" w:before="0"/>
              <w:jc w:val="left"/>
            </w:pPr>
            <w:r>
              <w:rPr>
                <w:rFonts w:ascii="Calibri" w:cs="Calibri" w:eastAsia="Calibri" w:hAnsi="Calibri"/>
                <w:b w:val="false"/>
                <w:bCs w:val="false"/>
                <w:i w:val="false"/>
                <w:iCs w:val="false"/>
                <w:color w:val="000000"/>
                <w:sz w:val="18"/>
                <w:szCs w:val="18"/>
              </w:rPr>
              <w:t xml:space="preserve">BGS Acme Retail Co.</w:t>
            </w:r>
          </w:p>
        </w:tc>
      </w:tr>
      <w:tr>
        <w:tc>
          <w:tcPr>
            <w:tcW w:type="dxa" w:w="2268"/>
            <w:shd w:fill="F5F5F5" w:color="auto" w:val="clear"/>
            <w:tcMar>
              <w:top w:type="dxa" w:w="40"/>
              <w:left w:type="dxa" w:w="120"/>
              <w:bottom w:type="dxa" w:w="40"/>
              <w:right w:type="dxa" w:w="120"/>
            </w:tcMar>
          </w:tcPr>
          <w:p>
            <w:pPr>
              <w:spacing w:after="40" w:before="0"/>
              <w:jc w:val="left"/>
            </w:pPr>
            <w:r>
              <w:rPr>
                <w:rFonts w:ascii="Calibri" w:cs="Calibri" w:eastAsia="Calibri" w:hAnsi="Calibri"/>
                <w:b/>
                <w:bCs/>
                <w:i w:val="false"/>
                <w:iCs w:val="false"/>
                <w:color w:val="000000"/>
                <w:sz w:val="18"/>
                <w:szCs w:val="18"/>
              </w:rPr>
              <w:t xml:space="preserve">Date:</w:t>
            </w:r>
          </w:p>
        </w:tc>
        <w:tc>
          <w:tcPr>
            <w:tcMar>
              <w:top w:type="dxa" w:w="40"/>
              <w:left w:type="dxa" w:w="120"/>
              <w:bottom w:type="dxa" w:w="40"/>
              <w:right w:type="dxa" w:w="120"/>
            </w:tcMar>
          </w:tcPr>
          <w:p>
            <w:pPr>
              <w:spacing w:after="40" w:before="0"/>
              <w:jc w:val="left"/>
            </w:pPr>
            <w:r>
              <w:rPr>
                <w:rFonts w:ascii="Calibri" w:cs="Calibri" w:eastAsia="Calibri" w:hAnsi="Calibri"/>
                <w:b w:val="false"/>
                <w:bCs w:val="false"/>
                <w:i w:val="false"/>
                <w:iCs w:val="false"/>
                <w:color w:val="000000"/>
                <w:sz w:val="18"/>
                <w:szCs w:val="18"/>
              </w:rPr>
              <w:t xml:space="preserve">October 23, 2026</w:t>
            </w:r>
          </w:p>
        </w:tc>
      </w:tr>
      <w:tr>
        <w:tc>
          <w:tcPr>
            <w:tcW w:type="dxa" w:w="2268"/>
            <w:shd w:fill="F5F5F5" w:color="auto" w:val="clear"/>
            <w:tcMar>
              <w:top w:type="dxa" w:w="40"/>
              <w:left w:type="dxa" w:w="120"/>
              <w:bottom w:type="dxa" w:w="40"/>
              <w:right w:type="dxa" w:w="120"/>
            </w:tcMar>
          </w:tcPr>
          <w:p>
            <w:pPr>
              <w:spacing w:after="40" w:before="0"/>
              <w:jc w:val="left"/>
            </w:pPr>
            <w:r>
              <w:rPr>
                <w:rFonts w:ascii="Calibri" w:cs="Calibri" w:eastAsia="Calibri" w:hAnsi="Calibri"/>
                <w:b/>
                <w:bCs/>
                <w:i w:val="false"/>
                <w:iCs w:val="false"/>
                <w:color w:val="000000"/>
                <w:sz w:val="18"/>
                <w:szCs w:val="18"/>
              </w:rPr>
              <w:t xml:space="preserve">Conformance:</w:t>
            </w:r>
          </w:p>
        </w:tc>
        <w:tc>
          <w:tcPr>
            <w:tcMar>
              <w:top w:type="dxa" w:w="40"/>
              <w:left w:type="dxa" w:w="120"/>
              <w:bottom w:type="dxa" w:w="40"/>
              <w:right w:type="dxa" w:w="120"/>
            </w:tcMar>
          </w:tcPr>
          <w:p>
            <w:pPr>
              <w:spacing w:after="40" w:before="0"/>
              <w:jc w:val="left"/>
            </w:pPr>
            <w:r>
              <w:rPr>
                <w:rFonts w:ascii="Calibri" w:cs="Calibri" w:eastAsia="Calibri" w:hAnsi="Calibri"/>
                <w:b/>
                <w:bCs/>
                <w:i w:val="false"/>
                <w:iCs w:val="false"/>
                <w:color w:val="e67e00"/>
                <w:sz w:val="18"/>
                <w:szCs w:val="18"/>
              </w:rPr>
              <w:t xml:space="preserve">Partially Conformant</w:t>
            </w:r>
          </w:p>
        </w:tc>
      </w:tr>
      <w:tr>
        <w:tc>
          <w:tcPr>
            <w:tcW w:type="dxa" w:w="2268"/>
            <w:shd w:fill="F5F5F5" w:color="auto" w:val="clear"/>
            <w:tcMar>
              <w:top w:type="dxa" w:w="40"/>
              <w:left w:type="dxa" w:w="120"/>
              <w:bottom w:type="dxa" w:w="40"/>
              <w:right w:type="dxa" w:w="120"/>
            </w:tcMar>
          </w:tcPr>
          <w:p>
            <w:pPr>
              <w:spacing w:after="40" w:before="0"/>
              <w:jc w:val="left"/>
            </w:pPr>
            <w:r>
              <w:rPr>
                <w:rFonts w:ascii="Calibri" w:cs="Calibri" w:eastAsia="Calibri" w:hAnsi="Calibri"/>
                <w:b/>
                <w:bCs/>
                <w:i w:val="false"/>
                <w:iCs w:val="false"/>
                <w:color w:val="000000"/>
                <w:sz w:val="18"/>
                <w:szCs w:val="18"/>
              </w:rPr>
              <w:t xml:space="preserve">Standard:</w:t>
            </w:r>
          </w:p>
        </w:tc>
        <w:tc>
          <w:tcPr>
            <w:tcMar>
              <w:top w:type="dxa" w:w="40"/>
              <w:left w:type="dxa" w:w="120"/>
              <w:bottom w:type="dxa" w:w="40"/>
              <w:right w:type="dxa" w:w="120"/>
            </w:tcMar>
          </w:tcPr>
          <w:p>
            <w:pPr>
              <w:spacing w:after="40" w:before="0"/>
              <w:jc w:val="left"/>
            </w:pPr>
            <w:r>
              <w:rPr>
                <w:rFonts w:ascii="Calibri" w:cs="Calibri" w:eastAsia="Calibri" w:hAnsi="Calibri"/>
                <w:b w:val="false"/>
                <w:bCs w:val="false"/>
                <w:i w:val="false"/>
                <w:iCs w:val="false"/>
                <w:color w:val="000000"/>
                <w:sz w:val="18"/>
                <w:szCs w:val="18"/>
              </w:rPr>
              <w:t xml:space="preserve">WCAG 2.2 Level AA · Section 508 · ADA</w:t>
            </w:r>
          </w:p>
        </w:tc>
      </w:tr>
      <w:tr>
        <w:tc>
          <w:tcPr>
            <w:tcW w:type="dxa" w:w="2268"/>
            <w:shd w:fill="F5F5F5" w:color="auto" w:val="clear"/>
            <w:tcMar>
              <w:top w:type="dxa" w:w="40"/>
              <w:left w:type="dxa" w:w="120"/>
              <w:bottom w:type="dxa" w:w="40"/>
              <w:right w:type="dxa" w:w="120"/>
            </w:tcMar>
          </w:tcPr>
          <w:p>
            <w:pPr>
              <w:spacing w:after="40" w:before="0"/>
              <w:jc w:val="left"/>
            </w:pPr>
            <w:r>
              <w:rPr>
                <w:rFonts w:ascii="Calibri" w:cs="Calibri" w:eastAsia="Calibri" w:hAnsi="Calibri"/>
                <w:b/>
                <w:bCs/>
                <w:i w:val="false"/>
                <w:iCs w:val="false"/>
                <w:color w:val="000000"/>
                <w:sz w:val="18"/>
                <w:szCs w:val="18"/>
              </w:rPr>
              <w:t xml:space="preserve">Contact:</w:t>
            </w:r>
          </w:p>
        </w:tc>
        <w:tc>
          <w:tcPr>
            <w:tcMar>
              <w:top w:type="dxa" w:w="40"/>
              <w:left w:type="dxa" w:w="120"/>
              <w:bottom w:type="dxa" w:w="40"/>
              <w:right w:type="dxa" w:w="120"/>
            </w:tcMar>
          </w:tcPr>
          <w:p>
            <w:pPr>
              <w:spacing w:after="40" w:before="0"/>
              <w:jc w:val="left"/>
            </w:pPr>
            <w:r>
              <w:rPr>
                <w:rFonts w:ascii="Calibri" w:cs="Calibri" w:eastAsia="Calibri" w:hAnsi="Calibri"/>
                <w:b w:val="false"/>
                <w:bCs w:val="false"/>
                <w:i w:val="false"/>
                <w:iCs w:val="false"/>
                <w:color w:val="000000"/>
                <w:sz w:val="18"/>
                <w:szCs w:val="18"/>
              </w:rPr>
              <w:t xml:space="preserve">contact@bgsacmeretail.com</w:t>
            </w:r>
          </w:p>
        </w:tc>
      </w:tr>
    </w:tbl>
    <w:p>
      <w:pPr>
        <w:spacing w:after="100" w:before="0"/>
        <w:jc w:val="left"/>
      </w:pPr>
      <w:r>
        <w:rPr>
          <w:rFonts w:ascii="Calibri" w:cs="Calibri" w:eastAsia="Calibri" w:hAnsi="Calibri"/>
          <w:b w:val="false"/>
          <w:bCs w:val="false"/>
          <w:i w:val="false"/>
          <w:iCs w:val="false"/>
          <w:color w:val="000000"/>
          <w:sz w:val="20"/>
          <w:szCs w:val="20"/>
        </w:rPr>
        <w:t xml:space="preserve"/>
      </w:r>
    </w:p>
    <w:p>
      <w:pPr>
        <w:pBdr>
          <w:top w:val="none" w:color="FFFFFF" w:sz="0"/>
          <w:bottom w:val="single" w:color="333333" w:sz="6"/>
          <w:left w:val="none" w:color="FFFFFF" w:sz="0"/>
          <w:right w:val="none" w:color="FFFFFF" w:sz="0"/>
        </w:pBdr>
        <w:spacing w:after="120" w:before="280"/>
      </w:pPr>
      <w:r>
        <w:rPr>
          <w:rFonts w:ascii="Calibri" w:cs="Calibri" w:eastAsia="Calibri" w:hAnsi="Calibri"/>
          <w:b/>
          <w:bCs/>
          <w:i w:val="false"/>
          <w:iCs w:val="false"/>
          <w:color w:val="000000"/>
          <w:sz w:val="28"/>
          <w:szCs w:val="28"/>
          <w:u w:val="single"/>
        </w:rPr>
        <w:t xml:space="preserve">1. Our Commitment</w:t>
      </w:r>
    </w:p>
    <w:p>
      <w:pPr>
        <w:spacing w:after="120" w:before="0"/>
        <w:jc w:val="left"/>
      </w:pPr>
      <w:r>
        <w:rPr>
          <w:rFonts w:ascii="Calibri" w:cs="Calibri" w:eastAsia="Calibri" w:hAnsi="Calibri"/>
          <w:b w:val="false"/>
          <w:bCs w:val="false"/>
          <w:i w:val="false"/>
          <w:iCs w:val="false"/>
          <w:color w:val="000000"/>
          <w:sz w:val="20"/>
          <w:szCs w:val="20"/>
        </w:rPr>
        <w:t xml:space="preserve">BGS Acme Retail Co. is committed to ensuring digital accessibility for people with disabilities. We continually improve the user experience for everyone and apply relevant accessibility standards. We strive to conform to the Web Content Accessibility Guidelines (WCAG) 2.2 Level AA.</w:t>
      </w:r>
    </w:p>
    <w:p>
      <w:pPr>
        <w:pBdr>
          <w:top w:val="none" w:color="FFFFFF" w:sz="0"/>
          <w:bottom w:val="single" w:color="333333" w:sz="6"/>
          <w:left w:val="none" w:color="FFFFFF" w:sz="0"/>
          <w:right w:val="none" w:color="FFFFFF" w:sz="0"/>
        </w:pBdr>
        <w:spacing w:after="120" w:before="280"/>
      </w:pPr>
      <w:r>
        <w:rPr>
          <w:rFonts w:ascii="Calibri" w:cs="Calibri" w:eastAsia="Calibri" w:hAnsi="Calibri"/>
          <w:b/>
          <w:bCs/>
          <w:i w:val="false"/>
          <w:iCs w:val="false"/>
          <w:color w:val="000000"/>
          <w:sz w:val="28"/>
          <w:szCs w:val="28"/>
          <w:u w:val="single"/>
        </w:rPr>
        <w:t xml:space="preserve">2. Conformance Status</w:t>
      </w:r>
    </w:p>
    <w:p>
      <w:pPr>
        <w:spacing w:after="80" w:before="0"/>
        <w:jc w:val="left"/>
      </w:pPr>
      <w:r>
        <w:rPr>
          <w:rFonts w:ascii="Calibri" w:cs="Calibri" w:eastAsia="Calibri" w:hAnsi="Calibri"/>
          <w:b w:val="false"/>
          <w:bCs w:val="false"/>
          <w:i w:val="false"/>
          <w:iCs w:val="false"/>
          <w:color w:val="000000"/>
          <w:sz w:val="20"/>
          <w:szCs w:val="20"/>
        </w:rPr>
        <w:t xml:space="preserve">BGS Acme Retail Co. is </w:t>
      </w:r>
      <w:r>
        <w:rPr>
          <w:rFonts w:ascii="Calibri" w:cs="Calibri" w:eastAsia="Calibri" w:hAnsi="Calibri"/>
          <w:b/>
          <w:bCs/>
          <w:i w:val="false"/>
          <w:iCs w:val="false"/>
          <w:color w:val="000000"/>
          <w:sz w:val="20"/>
          <w:szCs w:val="20"/>
        </w:rPr>
        <w:t xml:space="preserve">Partially Conformant</w:t>
      </w:r>
      <w:r>
        <w:rPr>
          <w:rFonts w:ascii="Calibri" w:cs="Calibri" w:eastAsia="Calibri" w:hAnsi="Calibri"/>
          <w:b w:val="false"/>
          <w:bCs w:val="false"/>
          <w:i w:val="false"/>
          <w:iCs w:val="false"/>
          <w:color w:val="000000"/>
          <w:sz w:val="20"/>
          <w:szCs w:val="20"/>
        </w:rPr>
        <w:t xml:space="preserve"> with WCAG 2.2 Level AA.</w:t>
      </w:r>
    </w:p>
    <w:p>
      <w:pPr>
        <w:spacing w:after="120" w:before="0"/>
        <w:jc w:val="left"/>
      </w:pPr>
      <w:r>
        <w:rPr>
          <w:rFonts w:ascii="Calibri" w:cs="Calibri" w:eastAsia="Calibri" w:hAnsi="Calibri"/>
          <w:b w:val="false"/>
          <w:bCs w:val="false"/>
          <w:i w:val="false"/>
          <w:iCs w:val="false"/>
          <w:color w:val="000000"/>
          <w:sz w:val="20"/>
          <w:szCs w:val="20"/>
        </w:rPr>
        <w:t xml:space="preserve">This means that some parts of the content do not fully conform to the accessibility standard, and we are actively working to address identified issues.</w:t>
      </w:r>
    </w:p>
    <w:p>
      <w:pPr>
        <w:spacing w:after="120" w:before="0"/>
        <w:jc w:val="left"/>
      </w:pPr>
      <w:r>
        <w:rPr>
          <w:rFonts w:ascii="Calibri" w:cs="Calibri" w:eastAsia="Calibri" w:hAnsi="Calibri"/>
          <w:b/>
          <w:bCs/>
          <w:i w:val="false"/>
          <w:iCs w:val="false"/>
          <w:color w:val="000000"/>
          <w:sz w:val="20"/>
          <w:szCs w:val="20"/>
        </w:rPr>
        <w:t xml:space="preserve">Note: </w:t>
      </w:r>
      <w:r>
        <w:rPr>
          <w:rFonts w:ascii="Calibri" w:cs="Calibri" w:eastAsia="Calibri" w:hAnsi="Calibri"/>
          <w:b w:val="false"/>
          <w:bCs w:val="false"/>
          <w:i/>
          <w:iCs/>
          <w:color w:val="000000"/>
          <w:sz w:val="20"/>
          <w:szCs w:val="20"/>
        </w:rPr>
        <w:t xml:space="preserve">Full WCAG 2.2 AA conformance is extremely difficult to achieve for complex web applications. Our ongoing goal is to reach and maintain the highest practical level of accessibility, and we treat accessibility as a continuous improvement process rather than a one-time compliance exercise.</w:t>
      </w:r>
    </w:p>
    <w:p>
      <w:pPr>
        <w:pBdr>
          <w:top w:val="none" w:color="FFFFFF" w:sz="0"/>
          <w:bottom w:val="single" w:color="333333" w:sz="6"/>
          <w:left w:val="none" w:color="FFFFFF" w:sz="0"/>
          <w:right w:val="none" w:color="FFFFFF" w:sz="0"/>
        </w:pBdr>
        <w:spacing w:after="120" w:before="280"/>
      </w:pPr>
      <w:r>
        <w:rPr>
          <w:rFonts w:ascii="Calibri" w:cs="Calibri" w:eastAsia="Calibri" w:hAnsi="Calibri"/>
          <w:b/>
          <w:bCs/>
          <w:i w:val="false"/>
          <w:iCs w:val="false"/>
          <w:color w:val="000000"/>
          <w:sz w:val="28"/>
          <w:szCs w:val="28"/>
          <w:u w:val="single"/>
        </w:rPr>
        <w:t xml:space="preserve">3. Audit Summary</w:t>
      </w:r>
    </w:p>
    <w:p>
      <w:pPr>
        <w:spacing w:after="80" w:before="0"/>
        <w:jc w:val="left"/>
      </w:pPr>
      <w:r>
        <w:rPr>
          <w:rFonts w:ascii="Calibri" w:cs="Calibri" w:eastAsia="Calibri" w:hAnsi="Calibri"/>
          <w:b w:val="false"/>
          <w:bCs w:val="false"/>
          <w:i w:val="false"/>
          <w:iCs w:val="false"/>
          <w:color w:val="000000"/>
          <w:sz w:val="20"/>
          <w:szCs w:val="20"/>
        </w:rPr>
        <w:t xml:space="preserve">An automated accessibility audit was conducted on October 23, 2026 covering 8 page(s) of this website.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Borders>
              <w:top w:val="single" w:color="E0E8F4" w:sz="4"/>
              <w:left w:val="single" w:color="E0E8F4" w:sz="4"/>
              <w:bottom w:val="single" w:color="E0E8F4" w:sz="4"/>
              <w:right w:val="single" w:color="E0E8F4" w:sz="4"/>
            </w:tcBorders>
            <w:shd w:fill="F5F7FB" w:color="auto" w:val="clear"/>
            <w:tcMar>
              <w:top w:type="dxa" w:w="80"/>
              <w:left w:type="dxa" w:w="160"/>
              <w:bottom w:type="dxa" w:w="80"/>
              <w:right w:type="dxa" w:w="160"/>
            </w:tcMar>
          </w:tcPr>
          <w:p>
            <w:pPr>
              <w:spacing w:after="40" w:before="80"/>
              <w:jc w:val="center"/>
            </w:pPr>
            <w:r>
              <w:rPr>
                <w:rFonts w:ascii="Calibri" w:cs="Calibri" w:eastAsia="Calibri" w:hAnsi="Calibri"/>
                <w:b/>
                <w:bCs/>
                <w:i w:val="false"/>
                <w:iCs w:val="false"/>
                <w:color w:val="000000"/>
                <w:sz w:val="32"/>
                <w:szCs w:val="32"/>
              </w:rPr>
              <w:t xml:space="preserve">8</w:t>
            </w:r>
          </w:p>
          <w:p>
            <w:pPr>
              <w:spacing w:after="80" w:before="0"/>
              <w:jc w:val="center"/>
            </w:pPr>
            <w:r>
              <w:rPr>
                <w:rFonts w:ascii="Calibri" w:cs="Calibri" w:eastAsia="Calibri" w:hAnsi="Calibri"/>
                <w:b w:val="false"/>
                <w:bCs w:val="false"/>
                <w:i w:val="false"/>
                <w:iCs w:val="false"/>
                <w:color w:val="555555"/>
                <w:sz w:val="16"/>
                <w:szCs w:val="16"/>
              </w:rPr>
              <w:t xml:space="preserve">Pages Audited</w:t>
            </w:r>
          </w:p>
        </w:tc>
        <w:tc>
          <w:tcPr>
            <w:tcBorders>
              <w:top w:val="single" w:color="E0E8F4" w:sz="4"/>
              <w:left w:val="single" w:color="E0E8F4" w:sz="4"/>
              <w:bottom w:val="single" w:color="E0E8F4" w:sz="4"/>
              <w:right w:val="single" w:color="E0E8F4" w:sz="4"/>
            </w:tcBorders>
            <w:shd w:fill="F5F7FB" w:color="auto" w:val="clear"/>
            <w:tcMar>
              <w:top w:type="dxa" w:w="80"/>
              <w:left w:type="dxa" w:w="160"/>
              <w:bottom w:type="dxa" w:w="80"/>
              <w:right w:type="dxa" w:w="160"/>
            </w:tcMar>
          </w:tcPr>
          <w:p>
            <w:pPr>
              <w:spacing w:after="40" w:before="80"/>
              <w:jc w:val="center"/>
            </w:pPr>
            <w:r>
              <w:rPr>
                <w:rFonts w:ascii="Calibri" w:cs="Calibri" w:eastAsia="Calibri" w:hAnsi="Calibri"/>
                <w:b/>
                <w:bCs/>
                <w:i w:val="false"/>
                <w:iCs w:val="false"/>
                <w:color w:val="276221"/>
                <w:sz w:val="32"/>
                <w:szCs w:val="32"/>
              </w:rPr>
              <w:t xml:space="preserve">1</w:t>
            </w:r>
          </w:p>
          <w:p>
            <w:pPr>
              <w:spacing w:after="80" w:before="0"/>
              <w:jc w:val="center"/>
            </w:pPr>
            <w:r>
              <w:rPr>
                <w:rFonts w:ascii="Calibri" w:cs="Calibri" w:eastAsia="Calibri" w:hAnsi="Calibri"/>
                <w:b w:val="false"/>
                <w:bCs w:val="false"/>
                <w:i w:val="false"/>
                <w:iCs w:val="false"/>
                <w:color w:val="555555"/>
                <w:sz w:val="16"/>
                <w:szCs w:val="16"/>
              </w:rPr>
              <w:t xml:space="preserve">Pages Passing</w:t>
            </w:r>
          </w:p>
        </w:tc>
        <w:tc>
          <w:tcPr>
            <w:tcBorders>
              <w:top w:val="single" w:color="E0E8F4" w:sz="4"/>
              <w:left w:val="single" w:color="E0E8F4" w:sz="4"/>
              <w:bottom w:val="single" w:color="E0E8F4" w:sz="4"/>
              <w:right w:val="single" w:color="E0E8F4" w:sz="4"/>
            </w:tcBorders>
            <w:shd w:fill="F5F7FB" w:color="auto" w:val="clear"/>
            <w:tcMar>
              <w:top w:type="dxa" w:w="80"/>
              <w:left w:type="dxa" w:w="160"/>
              <w:bottom w:type="dxa" w:w="80"/>
              <w:right w:type="dxa" w:w="160"/>
            </w:tcMar>
          </w:tcPr>
          <w:p>
            <w:pPr>
              <w:spacing w:after="40" w:before="80"/>
              <w:jc w:val="center"/>
            </w:pPr>
            <w:r>
              <w:rPr>
                <w:rFonts w:ascii="Calibri" w:cs="Calibri" w:eastAsia="Calibri" w:hAnsi="Calibri"/>
                <w:b/>
                <w:bCs/>
                <w:i w:val="false"/>
                <w:iCs w:val="false"/>
                <w:color w:val="C00000"/>
                <w:sz w:val="32"/>
                <w:szCs w:val="32"/>
              </w:rPr>
              <w:t xml:space="preserve">16</w:t>
            </w:r>
          </w:p>
          <w:p>
            <w:pPr>
              <w:spacing w:after="80" w:before="0"/>
              <w:jc w:val="center"/>
            </w:pPr>
            <w:r>
              <w:rPr>
                <w:rFonts w:ascii="Calibri" w:cs="Calibri" w:eastAsia="Calibri" w:hAnsi="Calibri"/>
                <w:b w:val="false"/>
                <w:bCs w:val="false"/>
                <w:i w:val="false"/>
                <w:iCs w:val="false"/>
                <w:color w:val="555555"/>
                <w:sz w:val="16"/>
                <w:szCs w:val="16"/>
              </w:rPr>
              <w:t xml:space="preserve">Critical / High</w:t>
            </w:r>
          </w:p>
        </w:tc>
        <w:tc>
          <w:tcPr>
            <w:tcBorders>
              <w:top w:val="single" w:color="E0E8F4" w:sz="4"/>
              <w:left w:val="single" w:color="E0E8F4" w:sz="4"/>
              <w:bottom w:val="single" w:color="E0E8F4" w:sz="4"/>
              <w:right w:val="single" w:color="E0E8F4" w:sz="4"/>
            </w:tcBorders>
            <w:shd w:fill="F5F7FB" w:color="auto" w:val="clear"/>
            <w:tcMar>
              <w:top w:type="dxa" w:w="80"/>
              <w:left w:type="dxa" w:w="160"/>
              <w:bottom w:type="dxa" w:w="80"/>
              <w:right w:type="dxa" w:w="160"/>
            </w:tcMar>
          </w:tcPr>
          <w:p>
            <w:pPr>
              <w:spacing w:after="40" w:before="80"/>
              <w:jc w:val="center"/>
            </w:pPr>
            <w:r>
              <w:rPr>
                <w:rFonts w:ascii="Calibri" w:cs="Calibri" w:eastAsia="Calibri" w:hAnsi="Calibri"/>
                <w:b/>
                <w:bCs/>
                <w:i w:val="false"/>
                <w:iCs w:val="false"/>
                <w:color w:val="E67E00"/>
                <w:sz w:val="32"/>
                <w:szCs w:val="32"/>
              </w:rPr>
              <w:t xml:space="preserve">6</w:t>
            </w:r>
          </w:p>
          <w:p>
            <w:pPr>
              <w:spacing w:after="80" w:before="0"/>
              <w:jc w:val="center"/>
            </w:pPr>
            <w:r>
              <w:rPr>
                <w:rFonts w:ascii="Calibri" w:cs="Calibri" w:eastAsia="Calibri" w:hAnsi="Calibri"/>
                <w:b w:val="false"/>
                <w:bCs w:val="false"/>
                <w:i w:val="false"/>
                <w:iCs w:val="false"/>
                <w:color w:val="555555"/>
                <w:sz w:val="16"/>
                <w:szCs w:val="16"/>
              </w:rPr>
              <w:t xml:space="preserve">Medium / Low</w:t>
            </w:r>
          </w:p>
        </w:tc>
        <w:tc>
          <w:tcPr>
            <w:tcBorders>
              <w:top w:val="single" w:color="E0E8F4" w:sz="4"/>
              <w:left w:val="single" w:color="E0E8F4" w:sz="4"/>
              <w:bottom w:val="single" w:color="E0E8F4" w:sz="4"/>
              <w:right w:val="single" w:color="E0E8F4" w:sz="4"/>
            </w:tcBorders>
            <w:shd w:fill="F5F7FB" w:color="auto" w:val="clear"/>
            <w:tcMar>
              <w:top w:type="dxa" w:w="80"/>
              <w:left w:type="dxa" w:w="160"/>
              <w:bottom w:type="dxa" w:w="80"/>
              <w:right w:type="dxa" w:w="160"/>
            </w:tcMar>
          </w:tcPr>
          <w:p>
            <w:pPr>
              <w:spacing w:after="40" w:before="80"/>
              <w:jc w:val="center"/>
            </w:pPr>
            <w:r>
              <w:rPr>
                <w:rFonts w:ascii="Calibri" w:cs="Calibri" w:eastAsia="Calibri" w:hAnsi="Calibri"/>
                <w:b/>
                <w:bCs/>
                <w:i w:val="false"/>
                <w:iCs w:val="false"/>
                <w:color w:val="000000"/>
                <w:sz w:val="32"/>
                <w:szCs w:val="32"/>
              </w:rPr>
              <w:t xml:space="preserve">22</w:t>
            </w:r>
          </w:p>
          <w:p>
            <w:pPr>
              <w:spacing w:after="80" w:before="0"/>
              <w:jc w:val="center"/>
            </w:pPr>
            <w:r>
              <w:rPr>
                <w:rFonts w:ascii="Calibri" w:cs="Calibri" w:eastAsia="Calibri" w:hAnsi="Calibri"/>
                <w:b w:val="false"/>
                <w:bCs w:val="false"/>
                <w:i w:val="false"/>
                <w:iCs w:val="false"/>
                <w:color w:val="555555"/>
                <w:sz w:val="16"/>
                <w:szCs w:val="16"/>
              </w:rPr>
              <w:t xml:space="preserve">Total Violations</w:t>
            </w:r>
          </w:p>
        </w:tc>
      </w:tr>
    </w:tbl>
    <w:p>
      <w:pPr>
        <w:spacing w:after="100" w:before="0"/>
        <w:jc w:val="left"/>
      </w:pPr>
      <w:r>
        <w:rPr>
          <w:rFonts w:ascii="Calibri" w:cs="Calibri" w:eastAsia="Calibri" w:hAnsi="Calibri"/>
          <w:b w:val="false"/>
          <w:bCs w:val="false"/>
          <w:i w:val="false"/>
          <w:iCs w:val="false"/>
          <w:color w:val="000000"/>
          <w:sz w:val="20"/>
          <w:szCs w:val="20"/>
        </w:rPr>
        <w:t xml:space="preserve"/>
      </w:r>
    </w:p>
    <w:p>
      <w:pPr>
        <w:spacing w:after="120" w:before="0"/>
        <w:jc w:val="left"/>
      </w:pPr>
      <w:r>
        <w:rPr>
          <w:rFonts w:ascii="Calibri" w:cs="Calibri" w:eastAsia="Calibri" w:hAnsi="Calibri"/>
          <w:b w:val="false"/>
          <w:bCs w:val="false"/>
          <w:i/>
          <w:iCs/>
          <w:color w:val="555555"/>
          <w:sz w:val="20"/>
          <w:szCs w:val="20"/>
        </w:rPr>
        <w:t xml:space="preserve">This assessment was conducted using automated WCAG 2.2 AA scanning, screen reader simulation, and AT compatibility testing. Media content accuracy, plain language quality, and OS-level display testing were evaluated separately via manual checklist.</w:t>
      </w:r>
    </w:p>
    <w:p>
      <w:pPr>
        <w:pBdr>
          <w:top w:val="none" w:color="FFFFFF" w:sz="0"/>
          <w:bottom w:val="single" w:color="333333" w:sz="6"/>
          <w:left w:val="none" w:color="FFFFFF" w:sz="0"/>
          <w:right w:val="none" w:color="FFFFFF" w:sz="0"/>
        </w:pBdr>
        <w:spacing w:after="120" w:before="280"/>
      </w:pPr>
      <w:r>
        <w:rPr>
          <w:rFonts w:ascii="Calibri" w:cs="Calibri" w:eastAsia="Calibri" w:hAnsi="Calibri"/>
          <w:b/>
          <w:bCs/>
          <w:i w:val="false"/>
          <w:iCs w:val="false"/>
          <w:color w:val="000000"/>
          <w:sz w:val="28"/>
          <w:szCs w:val="28"/>
          <w:u w:val="single"/>
        </w:rPr>
        <w:t xml:space="preserve">4. Technical Specification</w:t>
      </w:r>
    </w:p>
    <w:p>
      <w:pPr>
        <w:spacing w:after="60" w:before="0"/>
        <w:jc w:val="left"/>
      </w:pPr>
      <w:r>
        <w:rPr>
          <w:rFonts w:ascii="Calibri" w:cs="Calibri" w:eastAsia="Calibri" w:hAnsi="Calibri"/>
          <w:b w:val="false"/>
          <w:bCs w:val="false"/>
          <w:i w:val="false"/>
          <w:iCs w:val="false"/>
          <w:color w:val="000000"/>
          <w:sz w:val="20"/>
          <w:szCs w:val="20"/>
        </w:rPr>
        <w:t xml:space="preserve">This website was evaluated for conformance with the following standards:</w:t>
      </w:r>
    </w:p>
    <w:p>
      <w:pPr>
        <w:pStyle w:val="ListParagraph"/>
        <w:numPr>
          <w:ilvl w:val="0"/>
          <w:numId w:val="1"/>
        </w:numPr>
        <w:spacing w:after="80" w:before="0"/>
        <w:ind w:left="284"/>
      </w:pPr>
      <w:r>
        <w:rPr>
          <w:rFonts w:ascii="Calibri" w:cs="Calibri" w:eastAsia="Calibri" w:hAnsi="Calibri"/>
          <w:b w:val="false"/>
          <w:bCs w:val="false"/>
          <w:i w:val="false"/>
          <w:iCs w:val="false"/>
          <w:color w:val="000000"/>
          <w:sz w:val="20"/>
          <w:szCs w:val="20"/>
        </w:rPr>
        <w:t xml:space="preserve">WCAG 2.2 Level A and Level AA (W3C Recommendation, October 2023)</w:t>
      </w:r>
    </w:p>
    <w:p>
      <w:pPr>
        <w:pStyle w:val="ListParagraph"/>
        <w:numPr>
          <w:ilvl w:val="0"/>
          <w:numId w:val="1"/>
        </w:numPr>
        <w:spacing w:after="80" w:before="0"/>
        <w:ind w:left="284"/>
      </w:pPr>
      <w:r>
        <w:rPr>
          <w:rFonts w:ascii="Calibri" w:cs="Calibri" w:eastAsia="Calibri" w:hAnsi="Calibri"/>
          <w:b w:val="false"/>
          <w:bCs w:val="false"/>
          <w:i w:val="false"/>
          <w:iCs w:val="false"/>
          <w:color w:val="000000"/>
          <w:sz w:val="20"/>
          <w:szCs w:val="20"/>
        </w:rPr>
        <w:t xml:space="preserve">Section 508 of the Rehabilitation Act of 1973 (as amended)</w:t>
      </w:r>
    </w:p>
    <w:p>
      <w:pPr>
        <w:spacing w:after="100" w:before="0"/>
        <w:jc w:val="left"/>
      </w:pPr>
      <w:r>
        <w:rPr>
          <w:rFonts w:ascii="Calibri" w:cs="Calibri" w:eastAsia="Calibri" w:hAnsi="Calibri"/>
          <w:b w:val="false"/>
          <w:bCs w:val="false"/>
          <w:i w:val="false"/>
          <w:iCs w:val="false"/>
          <w:color w:val="000000"/>
          <w:sz w:val="20"/>
          <w:szCs w:val="20"/>
        </w:rPr>
        <w:t xml:space="preserve"/>
      </w:r>
    </w:p>
    <w:p>
      <w:pPr>
        <w:spacing w:after="120" w:before="0"/>
        <w:jc w:val="left"/>
      </w:pPr>
      <w:r>
        <w:rPr>
          <w:rFonts w:ascii="Calibri" w:cs="Calibri" w:eastAsia="Calibri" w:hAnsi="Calibri"/>
          <w:b w:val="false"/>
          <w:bCs w:val="false"/>
          <w:i/>
          <w:iCs/>
          <w:color w:val="666666"/>
          <w:sz w:val="20"/>
          <w:szCs w:val="20"/>
        </w:rPr>
        <w:t xml:space="preserve">The evaluation was performed using automated accessibility scanning on a rendered Chromium browser engine, covering technical WCAG success criteria.</w:t>
      </w:r>
    </w:p>
    <w:p>
      <w:pPr>
        <w:pBdr>
          <w:top w:val="none" w:color="FFFFFF" w:sz="0"/>
          <w:bottom w:val="single" w:color="333333" w:sz="6"/>
          <w:left w:val="none" w:color="FFFFFF" w:sz="0"/>
          <w:right w:val="none" w:color="FFFFFF" w:sz="0"/>
        </w:pBdr>
        <w:spacing w:after="120" w:before="280"/>
      </w:pPr>
      <w:r>
        <w:rPr>
          <w:rFonts w:ascii="Calibri" w:cs="Calibri" w:eastAsia="Calibri" w:hAnsi="Calibri"/>
          <w:b/>
          <w:bCs/>
          <w:i w:val="false"/>
          <w:iCs w:val="false"/>
          <w:color w:val="000000"/>
          <w:sz w:val="28"/>
          <w:szCs w:val="28"/>
          <w:u w:val="single"/>
        </w:rPr>
        <w:t xml:space="preserve">5. Assistive Technology Compatibility</w:t>
      </w:r>
    </w:p>
    <w:p>
      <w:pPr>
        <w:spacing w:after="60" w:before="0"/>
        <w:jc w:val="left"/>
      </w:pPr>
      <w:r>
        <w:rPr>
          <w:rFonts w:ascii="Calibri" w:cs="Calibri" w:eastAsia="Calibri" w:hAnsi="Calibri"/>
          <w:b w:val="false"/>
          <w:bCs w:val="false"/>
          <w:i w:val="false"/>
          <w:iCs w:val="false"/>
          <w:color w:val="000000"/>
          <w:sz w:val="20"/>
          <w:szCs w:val="20"/>
        </w:rPr>
        <w:t xml:space="preserve">This website aims to be compatible with the following assistive technologies:</w:t>
      </w:r>
    </w:p>
    <w:p>
      <w:pPr>
        <w:pStyle w:val="ListParagraph"/>
        <w:numPr>
          <w:ilvl w:val="0"/>
          <w:numId w:val="1"/>
        </w:numPr>
        <w:spacing w:after="80" w:before="0"/>
        <w:ind w:left="284"/>
      </w:pPr>
      <w:r>
        <w:rPr>
          <w:rFonts w:ascii="Calibri" w:cs="Calibri" w:eastAsia="Calibri" w:hAnsi="Calibri"/>
          <w:b w:val="false"/>
          <w:bCs w:val="false"/>
          <w:i w:val="false"/>
          <w:iCs w:val="false"/>
          <w:color w:val="000000"/>
          <w:sz w:val="20"/>
          <w:szCs w:val="20"/>
        </w:rPr>
        <w:t xml:space="preserve">Screen readers: JAWS, NVDA, VoiceOver (macOS/iOS), TalkBack (Android)</w:t>
      </w:r>
    </w:p>
    <w:p>
      <w:pPr>
        <w:pStyle w:val="ListParagraph"/>
        <w:numPr>
          <w:ilvl w:val="0"/>
          <w:numId w:val="1"/>
        </w:numPr>
        <w:spacing w:after="80" w:before="0"/>
        <w:ind w:left="284"/>
      </w:pPr>
      <w:r>
        <w:rPr>
          <w:rFonts w:ascii="Calibri" w:cs="Calibri" w:eastAsia="Calibri" w:hAnsi="Calibri"/>
          <w:b w:val="false"/>
          <w:bCs w:val="false"/>
          <w:i w:val="false"/>
          <w:iCs w:val="false"/>
          <w:color w:val="000000"/>
          <w:sz w:val="20"/>
          <w:szCs w:val="20"/>
        </w:rPr>
        <w:t xml:space="preserve">Keyboard-only navigation</w:t>
      </w:r>
    </w:p>
    <w:p>
      <w:pPr>
        <w:pStyle w:val="ListParagraph"/>
        <w:numPr>
          <w:ilvl w:val="0"/>
          <w:numId w:val="1"/>
        </w:numPr>
        <w:spacing w:after="80" w:before="0"/>
        <w:ind w:left="284"/>
      </w:pPr>
      <w:r>
        <w:rPr>
          <w:rFonts w:ascii="Calibri" w:cs="Calibri" w:eastAsia="Calibri" w:hAnsi="Calibri"/>
          <w:b w:val="false"/>
          <w:bCs w:val="false"/>
          <w:i w:val="false"/>
          <w:iCs w:val="false"/>
          <w:color w:val="000000"/>
          <w:sz w:val="20"/>
          <w:szCs w:val="20"/>
        </w:rPr>
        <w:t xml:space="preserve">Browser zoom up to 200%</w:t>
      </w:r>
    </w:p>
    <w:p>
      <w:pPr>
        <w:pStyle w:val="ListParagraph"/>
        <w:numPr>
          <w:ilvl w:val="0"/>
          <w:numId w:val="1"/>
        </w:numPr>
        <w:spacing w:after="80" w:before="0"/>
        <w:ind w:left="284"/>
      </w:pPr>
      <w:r>
        <w:rPr>
          <w:rFonts w:ascii="Calibri" w:cs="Calibri" w:eastAsia="Calibri" w:hAnsi="Calibri"/>
          <w:b w:val="false"/>
          <w:bCs w:val="false"/>
          <w:i w:val="false"/>
          <w:iCs w:val="false"/>
          <w:color w:val="000000"/>
          <w:sz w:val="20"/>
          <w:szCs w:val="20"/>
        </w:rPr>
        <w:t xml:space="preserve">Windows High Contrast mode</w:t>
      </w:r>
    </w:p>
    <w:p>
      <w:pPr>
        <w:pStyle w:val="ListParagraph"/>
        <w:numPr>
          <w:ilvl w:val="0"/>
          <w:numId w:val="1"/>
        </w:numPr>
        <w:spacing w:after="80" w:before="0"/>
        <w:ind w:left="284"/>
      </w:pPr>
      <w:r>
        <w:rPr>
          <w:rFonts w:ascii="Calibri" w:cs="Calibri" w:eastAsia="Calibri" w:hAnsi="Calibri"/>
          <w:b w:val="false"/>
          <w:bCs w:val="false"/>
          <w:i w:val="false"/>
          <w:iCs w:val="false"/>
          <w:color w:val="000000"/>
          <w:sz w:val="20"/>
          <w:szCs w:val="20"/>
        </w:rPr>
        <w:t xml:space="preserve">Voice control software (Dragon NaturallySpeaking)</w:t>
      </w:r>
    </w:p>
    <w:p>
      <w:pPr>
        <w:spacing w:after="100" w:before="0"/>
        <w:jc w:val="left"/>
      </w:pPr>
      <w:r>
        <w:rPr>
          <w:rFonts w:ascii="Calibri" w:cs="Calibri" w:eastAsia="Calibri" w:hAnsi="Calibri"/>
          <w:b w:val="false"/>
          <w:bCs w:val="false"/>
          <w:i w:val="false"/>
          <w:iCs w:val="false"/>
          <w:color w:val="000000"/>
          <w:sz w:val="20"/>
          <w:szCs w:val="20"/>
        </w:rPr>
        <w:t xml:space="preserve"/>
      </w:r>
    </w:p>
    <w:p>
      <w:pPr>
        <w:spacing w:after="120" w:before="0"/>
        <w:jc w:val="left"/>
      </w:pPr>
      <w:r>
        <w:rPr>
          <w:rFonts w:ascii="Calibri" w:cs="Calibri" w:eastAsia="Calibri" w:hAnsi="Calibri"/>
          <w:b w:val="false"/>
          <w:bCs w:val="false"/>
          <w:i/>
          <w:iCs/>
          <w:color w:val="666666"/>
          <w:sz w:val="20"/>
          <w:szCs w:val="20"/>
        </w:rPr>
        <w:t xml:space="preserve">Note: Testing coverage is based on the automated audit and screen reader simulation. Manual AT testing with real assistive technologies is recommended for full verification.</w:t>
      </w:r>
    </w:p>
    <w:p>
      <w:pPr>
        <w:pBdr>
          <w:top w:val="none" w:color="FFFFFF" w:sz="0"/>
          <w:bottom w:val="single" w:color="333333" w:sz="6"/>
          <w:left w:val="none" w:color="FFFFFF" w:sz="0"/>
          <w:right w:val="none" w:color="FFFFFF" w:sz="0"/>
        </w:pBdr>
        <w:spacing w:after="120" w:before="280"/>
      </w:pPr>
      <w:r>
        <w:rPr>
          <w:rFonts w:ascii="Calibri" w:cs="Calibri" w:eastAsia="Calibri" w:hAnsi="Calibri"/>
          <w:b/>
          <w:bCs/>
          <w:i w:val="false"/>
          <w:iCs w:val="false"/>
          <w:color w:val="000000"/>
          <w:sz w:val="28"/>
          <w:szCs w:val="28"/>
          <w:u w:val="single"/>
        </w:rPr>
        <w:t xml:space="preserve">6. Third-Party Content</w:t>
      </w:r>
    </w:p>
    <w:p>
      <w:pPr>
        <w:spacing w:after="120" w:before="0"/>
        <w:jc w:val="left"/>
      </w:pPr>
      <w:r>
        <w:rPr>
          <w:rFonts w:ascii="Calibri" w:cs="Calibri" w:eastAsia="Calibri" w:hAnsi="Calibri"/>
          <w:b w:val="false"/>
          <w:bCs w:val="false"/>
          <w:i w:val="false"/>
          <w:iCs w:val="false"/>
          <w:color w:val="000000"/>
          <w:sz w:val="20"/>
          <w:szCs w:val="20"/>
        </w:rPr>
        <w:t xml:space="preserve">This website may contain embedded third-party content including social media widgets, video embeds, payment processors, mapping services, and analytics tools. BGS Acme Retail Co. cannot guarantee the accessibility of third-party content as it is outside our direct control. We recommend contacting third-party providers directly regarding their accessibility conformance, and using our accessibility feedback contact to report any third-party barriers.</w:t>
      </w:r>
    </w:p>
    <w:p>
      <w:pPr>
        <w:pBdr>
          <w:top w:val="none" w:color="FFFFFF" w:sz="0"/>
          <w:bottom w:val="single" w:color="333333" w:sz="6"/>
          <w:left w:val="none" w:color="FFFFFF" w:sz="0"/>
          <w:right w:val="none" w:color="FFFFFF" w:sz="0"/>
        </w:pBdr>
        <w:spacing w:after="120" w:before="280"/>
      </w:pPr>
      <w:r>
        <w:rPr>
          <w:rFonts w:ascii="Calibri" w:cs="Calibri" w:eastAsia="Calibri" w:hAnsi="Calibri"/>
          <w:b/>
          <w:bCs/>
          <w:i w:val="false"/>
          <w:iCs w:val="false"/>
          <w:color w:val="000000"/>
          <w:sz w:val="28"/>
          <w:szCs w:val="28"/>
          <w:u w:val="single"/>
        </w:rPr>
        <w:t xml:space="preserve">7. Remediation Plan</w:t>
      </w:r>
    </w:p>
    <w:p>
      <w:pPr>
        <w:spacing w:after="60" w:before="0"/>
        <w:jc w:val="left"/>
      </w:pPr>
      <w:r>
        <w:rPr>
          <w:rFonts w:ascii="Calibri" w:cs="Calibri" w:eastAsia="Calibri" w:hAnsi="Calibri"/>
          <w:b w:val="false"/>
          <w:bCs w:val="false"/>
          <w:i w:val="false"/>
          <w:iCs w:val="false"/>
          <w:color w:val="000000"/>
          <w:sz w:val="20"/>
          <w:szCs w:val="20"/>
        </w:rPr>
        <w:t xml:space="preserve">We have identified 2 critical barrier(s) that require immediate attention. These are being prioritised for resolution within 24-48 hours.</w:t>
      </w:r>
    </w:p>
    <w:p>
      <w:pPr>
        <w:spacing w:after="60" w:before="0"/>
        <w:jc w:val="left"/>
      </w:pPr>
      <w:r>
        <w:rPr>
          <w:rFonts w:ascii="Calibri" w:cs="Calibri" w:eastAsia="Calibri" w:hAnsi="Calibri"/>
          <w:b w:val="false"/>
          <w:bCs w:val="false"/>
          <w:i w:val="false"/>
          <w:iCs w:val="false"/>
          <w:color w:val="000000"/>
          <w:sz w:val="20"/>
          <w:szCs w:val="20"/>
        </w:rPr>
        <w:t xml:space="preserve">Critical and high-severity issues are targeted for resolution within 2-4 weeks of identification. Medium and low-severity issues are scheduled within 60-90 days. Our development team reviews accessibility as part of every release cycle.</w:t>
      </w:r>
    </w:p>
    <w:p>
      <w:pPr>
        <w:spacing w:after="60" w:before="0"/>
        <w:jc w:val="left"/>
      </w:pPr>
      <w:r>
        <w:rPr>
          <w:rFonts w:ascii="Calibri" w:cs="Calibri" w:eastAsia="Calibri" w:hAnsi="Calibri"/>
          <w:b w:val="false"/>
          <w:bCs w:val="false"/>
          <w:i w:val="false"/>
          <w:iCs w:val="false"/>
          <w:color w:val="92400e"/>
          <w:sz w:val="20"/>
          <w:szCs w:val="20"/>
        </w:rPr>
        <w:t xml:space="preserve">⚠ 1 of 9 page(s) could not be tested during this scan and are not reflected above.</w:t>
      </w:r>
    </w:p>
    <w:p>
      <w:pPr>
        <w:spacing w:after="120" w:before="0"/>
        <w:jc w:val="left"/>
      </w:pPr>
      <w:r>
        <w:rPr>
          <w:rFonts w:ascii="Calibri" w:cs="Calibri" w:eastAsia="Calibri" w:hAnsi="Calibri"/>
          <w:b w:val="false"/>
          <w:bCs w:val="false"/>
          <w:i/>
          <w:iCs/>
          <w:color w:val="000000"/>
          <w:sz w:val="20"/>
          <w:szCs w:val="20"/>
        </w:rPr>
        <w:t xml:space="preserve">A full Accessibility Conformance Report (ACR/VPAT) is available upon request.</w:t>
      </w:r>
    </w:p>
    <w:p>
      <w:pPr>
        <w:pBdr>
          <w:top w:val="none" w:color="FFFFFF" w:sz="0"/>
          <w:bottom w:val="single" w:color="333333" w:sz="6"/>
          <w:left w:val="none" w:color="FFFFFF" w:sz="0"/>
          <w:right w:val="none" w:color="FFFFFF" w:sz="0"/>
        </w:pBdr>
        <w:spacing w:after="120" w:before="280"/>
      </w:pPr>
      <w:r>
        <w:rPr>
          <w:rFonts w:ascii="Calibri" w:cs="Calibri" w:eastAsia="Calibri" w:hAnsi="Calibri"/>
          <w:b/>
          <w:bCs/>
          <w:i w:val="false"/>
          <w:iCs w:val="false"/>
          <w:color w:val="000000"/>
          <w:sz w:val="28"/>
          <w:szCs w:val="28"/>
          <w:u w:val="single"/>
        </w:rPr>
        <w:t xml:space="preserve">8. Feedback and Contact</w:t>
      </w:r>
    </w:p>
    <w:p>
      <w:pPr>
        <w:spacing w:after="60" w:before="0"/>
        <w:jc w:val="left"/>
      </w:pPr>
      <w:r>
        <w:rPr>
          <w:rFonts w:ascii="Calibri" w:cs="Calibri" w:eastAsia="Calibri" w:hAnsi="Calibri"/>
          <w:b w:val="false"/>
          <w:bCs w:val="false"/>
          <w:i w:val="false"/>
          <w:iCs w:val="false"/>
          <w:color w:val="000000"/>
          <w:sz w:val="20"/>
          <w:szCs w:val="20"/>
        </w:rPr>
        <w:t xml:space="preserve">We welcome feedback on the accessibility of this website. If you experience accessibility barriers or need assistance, please contact us at contact@bgsacmeretail.com. We aim to respond within 2 business days and will work with you to provide an accessible alternative where needed.</w:t>
      </w:r>
    </w:p>
    <w:p>
      <w:pPr>
        <w:spacing w:after="120" w:before="0"/>
        <w:jc w:val="left"/>
      </w:pPr>
      <w:r>
        <w:rPr>
          <w:rFonts w:ascii="Calibri" w:cs="Calibri" w:eastAsia="Calibri" w:hAnsi="Calibri"/>
          <w:b w:val="false"/>
          <w:bCs w:val="false"/>
          <w:i/>
          <w:iCs/>
          <w:color w:val="000000"/>
          <w:sz w:val="20"/>
          <w:szCs w:val="20"/>
        </w:rPr>
        <w:t xml:space="preserve">Alternative formats: Content can be provided in alternative accessible formats upon request.</w:t>
      </w:r>
    </w:p>
    <w:p>
      <w:pPr>
        <w:pBdr>
          <w:top w:val="none" w:color="FFFFFF" w:sz="0"/>
          <w:bottom w:val="single" w:color="333333" w:sz="6"/>
          <w:left w:val="none" w:color="FFFFFF" w:sz="0"/>
          <w:right w:val="none" w:color="FFFFFF" w:sz="0"/>
        </w:pBdr>
        <w:spacing w:after="120" w:before="280"/>
      </w:pPr>
      <w:r>
        <w:rPr>
          <w:rFonts w:ascii="Calibri" w:cs="Calibri" w:eastAsia="Calibri" w:hAnsi="Calibri"/>
          <w:b/>
          <w:bCs/>
          <w:i w:val="false"/>
          <w:iCs w:val="false"/>
          <w:color w:val="000000"/>
          <w:sz w:val="28"/>
          <w:szCs w:val="28"/>
          <w:u w:val="single"/>
        </w:rPr>
        <w:t xml:space="preserve">9. Review History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1F3864" w:color="auto" w:val="clear"/>
            <w:tcMar>
              <w:top w:type="dxa" w:w="80"/>
              <w:left w:type="dxa" w:w="120"/>
              <w:bottom w:type="dxa" w:w="80"/>
              <w:right w:type="dxa" w:w="120"/>
            </w:tcMar>
          </w:tcPr>
          <w:p>
            <w:pPr>
              <w:spacing w:after="40" w:before="40"/>
            </w:pPr>
            <w:r>
              <w:rPr>
                <w:rFonts w:ascii="Calibri" w:cs="Calibri" w:eastAsia="Calibri" w:hAnsi="Calibri"/>
                <w:b/>
                <w:bCs/>
                <w:i w:val="false"/>
                <w:iCs w:val="false"/>
                <w:color w:val="FFFFFF"/>
                <w:sz w:val="18"/>
                <w:szCs w:val="18"/>
              </w:rPr>
              <w:t xml:space="preserve">Review Date</w:t>
            </w:r>
          </w:p>
        </w:tc>
        <w:tc>
          <w:tcPr>
            <w:shd w:fill="1F3864" w:color="auto" w:val="clear"/>
            <w:tcMar>
              <w:top w:type="dxa" w:w="80"/>
              <w:left w:type="dxa" w:w="120"/>
              <w:bottom w:type="dxa" w:w="80"/>
              <w:right w:type="dxa" w:w="120"/>
            </w:tcMar>
          </w:tcPr>
          <w:p>
            <w:pPr>
              <w:spacing w:after="40" w:before="40"/>
            </w:pPr>
            <w:r>
              <w:rPr>
                <w:rFonts w:ascii="Calibri" w:cs="Calibri" w:eastAsia="Calibri" w:hAnsi="Calibri"/>
                <w:b/>
                <w:bCs/>
                <w:i w:val="false"/>
                <w:iCs w:val="false"/>
                <w:color w:val="FFFFFF"/>
                <w:sz w:val="18"/>
                <w:szCs w:val="18"/>
              </w:rPr>
              <w:t xml:space="preserve">Reviewed By</w:t>
            </w:r>
          </w:p>
        </w:tc>
        <w:tc>
          <w:tcPr>
            <w:shd w:fill="1F3864" w:color="auto" w:val="clear"/>
            <w:tcMar>
              <w:top w:type="dxa" w:w="80"/>
              <w:left w:type="dxa" w:w="120"/>
              <w:bottom w:type="dxa" w:w="80"/>
              <w:right w:type="dxa" w:w="120"/>
            </w:tcMar>
          </w:tcPr>
          <w:p>
            <w:pPr>
              <w:spacing w:after="40" w:before="40"/>
            </w:pPr>
            <w:r>
              <w:rPr>
                <w:rFonts w:ascii="Calibri" w:cs="Calibri" w:eastAsia="Calibri" w:hAnsi="Calibri"/>
                <w:b/>
                <w:bCs/>
                <w:i w:val="false"/>
                <w:iCs w:val="false"/>
                <w:color w:val="FFFFFF"/>
                <w:sz w:val="18"/>
                <w:szCs w:val="18"/>
              </w:rPr>
              <w:t xml:space="preserve">Method</w:t>
            </w:r>
          </w:p>
        </w:tc>
        <w:tc>
          <w:tcPr>
            <w:shd w:fill="1F3864" w:color="auto" w:val="clear"/>
            <w:tcMar>
              <w:top w:type="dxa" w:w="80"/>
              <w:left w:type="dxa" w:w="120"/>
              <w:bottom w:type="dxa" w:w="80"/>
              <w:right w:type="dxa" w:w="120"/>
            </w:tcMar>
          </w:tcPr>
          <w:p>
            <w:pPr>
              <w:spacing w:after="40" w:before="40"/>
            </w:pPr>
            <w:r>
              <w:rPr>
                <w:rFonts w:ascii="Calibri" w:cs="Calibri" w:eastAsia="Calibri" w:hAnsi="Calibri"/>
                <w:b/>
                <w:bCs/>
                <w:i w:val="false"/>
                <w:iCs w:val="false"/>
                <w:color w:val="FFFFFF"/>
                <w:sz w:val="18"/>
                <w:szCs w:val="18"/>
              </w:rPr>
              <w:t xml:space="preserve">Changes / Outcome</w:t>
            </w:r>
          </w:p>
        </w:tc>
      </w:tr>
      <w:tr>
        <w:tc>
          <w:tcPr>
            <w:tcMar>
              <w:top w:type="dxa" w:w="80"/>
              <w:left w:type="dxa" w:w="120"/>
              <w:bottom w:type="dxa" w:w="80"/>
              <w:right w:type="dxa" w:w="120"/>
            </w:tcMar>
          </w:tcPr>
          <w:p>
            <w:pPr>
              <w:spacing w:after="40" w:before="0"/>
              <w:jc w:val="left"/>
            </w:pPr>
            <w:r>
              <w:rPr>
                <w:rFonts w:ascii="Calibri" w:cs="Calibri" w:eastAsia="Calibri" w:hAnsi="Calibri"/>
                <w:b w:val="false"/>
                <w:bCs w:val="false"/>
                <w:i w:val="false"/>
                <w:iCs w:val="false"/>
                <w:color w:val="000000"/>
                <w:sz w:val="18"/>
                <w:szCs w:val="18"/>
              </w:rPr>
              <w:t xml:space="preserve">October 23, 2026</w:t>
            </w:r>
          </w:p>
        </w:tc>
        <w:tc>
          <w:tcPr>
            <w:tcMar>
              <w:top w:type="dxa" w:w="80"/>
              <w:left w:type="dxa" w:w="120"/>
              <w:bottom w:type="dxa" w:w="80"/>
              <w:right w:type="dxa" w:w="120"/>
            </w:tcMar>
          </w:tcPr>
          <w:p>
            <w:pPr>
              <w:spacing w:after="40" w:before="0"/>
              <w:jc w:val="left"/>
            </w:pPr>
            <w:r>
              <w:rPr>
                <w:rFonts w:ascii="Calibri" w:cs="Calibri" w:eastAsia="Calibri" w:hAnsi="Calibri"/>
                <w:b w:val="false"/>
                <w:bCs w:val="false"/>
                <w:i w:val="false"/>
                <w:iCs w:val="false"/>
                <w:color w:val="000000"/>
                <w:sz w:val="18"/>
                <w:szCs w:val="18"/>
              </w:rPr>
              <w:t xml:space="preserve">Jane Smith</w:t>
            </w:r>
          </w:p>
        </w:tc>
        <w:tc>
          <w:tcPr>
            <w:tcMar>
              <w:top w:type="dxa" w:w="80"/>
              <w:left w:type="dxa" w:w="120"/>
              <w:bottom w:type="dxa" w:w="80"/>
              <w:right w:type="dxa" w:w="120"/>
            </w:tcMar>
          </w:tcPr>
          <w:p>
            <w:pPr>
              <w:spacing w:after="40" w:before="0"/>
              <w:jc w:val="left"/>
            </w:pPr>
            <w:r>
              <w:rPr>
                <w:rFonts w:ascii="Calibri" w:cs="Calibri" w:eastAsia="Calibri" w:hAnsi="Calibri"/>
                <w:b w:val="false"/>
                <w:bCs w:val="false"/>
                <w:i w:val="false"/>
                <w:iCs w:val="false"/>
                <w:color w:val="000000"/>
                <w:sz w:val="18"/>
                <w:szCs w:val="18"/>
              </w:rPr>
              <w:t xml:space="preserve">Automated scan</w:t>
            </w:r>
          </w:p>
        </w:tc>
        <w:tc>
          <w:tcPr>
            <w:tcMar>
              <w:top w:type="dxa" w:w="80"/>
              <w:left w:type="dxa" w:w="120"/>
              <w:bottom w:type="dxa" w:w="80"/>
              <w:right w:type="dxa" w:w="120"/>
            </w:tcMar>
          </w:tcPr>
          <w:p>
            <w:pPr>
              <w:spacing w:after="40" w:before="0"/>
              <w:jc w:val="left"/>
            </w:pPr>
            <w:r>
              <w:rPr>
                <w:rFonts w:ascii="Calibri" w:cs="Calibri" w:eastAsia="Calibri" w:hAnsi="Calibri"/>
                <w:b w:val="false"/>
                <w:bCs w:val="false"/>
                <w:i w:val="false"/>
                <w:iCs w:val="false"/>
                <w:color w:val="000000"/>
                <w:sz w:val="18"/>
                <w:szCs w:val="18"/>
              </w:rPr>
              <w:t xml:space="preserve">Initial audit. 8 page(s) tested (1 of 9 blocked). 22 violation(s) found. 2 critical, 14 high, 6 medium, 0 low.</w:t>
            </w:r>
          </w:p>
        </w:tc>
      </w:tr>
      <w:tr>
        <w:tc>
          <w:tcPr>
            <w:gridSpan w:val="4"/>
            <w:shd w:fill="F9F9F9" w:color="auto" w:val="clear"/>
            <w:tcMar>
              <w:top w:type="dxa" w:w="80"/>
              <w:left w:type="dxa" w:w="120"/>
              <w:bottom w:type="dxa" w:w="80"/>
              <w:right w:type="dxa" w:w="120"/>
            </w:tcMar>
          </w:tcPr>
          <w:p>
            <w:pPr>
              <w:spacing w:after="40" w:before="0"/>
              <w:jc w:val="left"/>
            </w:pPr>
            <w:r>
              <w:rPr>
                <w:rFonts w:ascii="Calibri" w:cs="Calibri" w:eastAsia="Calibri" w:hAnsi="Calibri"/>
                <w:b w:val="false"/>
                <w:bCs w:val="false"/>
                <w:i/>
                <w:iCs/>
                <w:color w:val="AAAAAA"/>
                <w:sz w:val="16"/>
                <w:szCs w:val="16"/>
              </w:rPr>
              <w:t xml:space="preserve">Previous reviews will appear here after subsequent audits. We recommend quarterly re-audits and updating this statement after each significant website release.</w:t>
            </w:r>
          </w:p>
        </w:tc>
      </w:tr>
    </w:tbl>
    <w:p>
      <w:pPr>
        <w:spacing w:after="100" w:before="0"/>
        <w:jc w:val="left"/>
      </w:pPr>
      <w:r>
        <w:rPr>
          <w:rFonts w:ascii="Calibri" w:cs="Calibri" w:eastAsia="Calibri" w:hAnsi="Calibri"/>
          <w:b w:val="false"/>
          <w:bCs w:val="false"/>
          <w:i w:val="false"/>
          <w:iCs w:val="false"/>
          <w:color w:val="000000"/>
          <w:sz w:val="20"/>
          <w:szCs w:val="20"/>
        </w:rPr>
        <w:t xml:space="preserve"/>
      </w:r>
    </w:p>
    <w:p>
      <w:pPr>
        <w:pBdr>
          <w:top w:val="none" w:color="FFFFFF" w:sz="0"/>
          <w:bottom w:val="single" w:color="333333" w:sz="6"/>
          <w:left w:val="none" w:color="FFFFFF" w:sz="0"/>
          <w:right w:val="none" w:color="FFFFFF" w:sz="0"/>
        </w:pBdr>
        <w:spacing w:after="120" w:before="280"/>
      </w:pPr>
      <w:r>
        <w:rPr>
          <w:rFonts w:ascii="Calibri" w:cs="Calibri" w:eastAsia="Calibri" w:hAnsi="Calibri"/>
          <w:b/>
          <w:bCs/>
          <w:i w:val="false"/>
          <w:iCs w:val="false"/>
          <w:color w:val="000000"/>
          <w:sz w:val="28"/>
          <w:szCs w:val="28"/>
          <w:u w:val="single"/>
        </w:rPr>
        <w:t xml:space="preserve">10. Statement Validity</w:t>
      </w:r>
    </w:p>
    <w:p>
      <w:pPr>
        <w:spacing w:after="120" w:before="0"/>
        <w:jc w:val="left"/>
      </w:pPr>
      <w:r>
        <w:rPr>
          <w:rFonts w:ascii="Calibri" w:cs="Calibri" w:eastAsia="Calibri" w:hAnsi="Calibri"/>
          <w:b w:val="false"/>
          <w:bCs w:val="false"/>
          <w:i w:val="false"/>
          <w:iCs w:val="false"/>
          <w:color w:val="000000"/>
          <w:sz w:val="20"/>
          <w:szCs w:val="20"/>
        </w:rPr>
        <w:t xml:space="preserve">This statement was prepared on October 23, 2026. It is valid for the version of the website audited on this date. It will be reviewed and updated at least annually, or following any significant change to the website's content or functionality.</w:t>
      </w:r>
    </w:p>
    <w:p>
      <w:pPr>
        <w:pBdr>
          <w:top w:val="none" w:color="FFFFFF" w:sz="0"/>
          <w:bottom w:val="single" w:color="333333" w:sz="6"/>
          <w:left w:val="none" w:color="FFFFFF" w:sz="0"/>
          <w:right w:val="none" w:color="FFFFFF" w:sz="0"/>
        </w:pBdr>
        <w:spacing w:after="120" w:before="280"/>
      </w:pPr>
      <w:r>
        <w:rPr>
          <w:rFonts w:ascii="Calibri" w:cs="Calibri" w:eastAsia="Calibri" w:hAnsi="Calibri"/>
          <w:b/>
          <w:bCs/>
          <w:i w:val="false"/>
          <w:iCs w:val="false"/>
          <w:color w:val="000000"/>
          <w:sz w:val="28"/>
          <w:szCs w:val="28"/>
          <w:u w:val="single"/>
        </w:rPr>
        <w:t xml:space="preserve">11. Legal Notice</w:t>
      </w:r>
    </w:p>
    <w:p>
      <w:pPr>
        <w:spacing w:after="80" w:before="0"/>
        <w:jc w:val="left"/>
      </w:pPr>
      <w:r>
        <w:rPr>
          <w:rFonts w:ascii="Calibri" w:cs="Calibri" w:eastAsia="Calibri" w:hAnsi="Calibri"/>
          <w:b w:val="false"/>
          <w:bCs w:val="false"/>
          <w:i w:val="false"/>
          <w:iCs w:val="false"/>
          <w:color w:val="000000"/>
          <w:sz w:val="20"/>
          <w:szCs w:val="20"/>
        </w:rPr>
        <w:t xml:space="preserve">This accessibility statement was prepared in good faith and represents the current known status of accessibility conformance for this website. It does not constitute a warranty or guarantee of full WCAG 2.2 AA conformance.</w:t>
      </w:r>
    </w:p>
    <w:p>
      <w:pPr>
        <w:spacing w:after="80" w:before="0"/>
        <w:jc w:val="left"/>
      </w:pPr>
      <w:r>
        <w:rPr>
          <w:rFonts w:ascii="Calibri" w:cs="Calibri" w:eastAsia="Calibri" w:hAnsi="Calibri"/>
          <w:b w:val="false"/>
          <w:bCs w:val="false"/>
          <w:i/>
          <w:iCs/>
          <w:color w:val="666666"/>
          <w:sz w:val="20"/>
          <w:szCs w:val="20"/>
        </w:rPr>
        <w:t xml:space="preserve">This statement was prepared on behalf of BGS Acme Retail Co.. The accessibility audit covered publicly accessible web pages using automated scanning, screen reader simulation, and AT compatibility testing. This statement does not constitute legal advice.</w:t>
      </w:r>
    </w:p>
    <w:p>
      <w:pPr>
        <w:spacing w:after="400" w:before="0"/>
        <w:jc w:val="left"/>
      </w:pPr>
      <w:r>
        <w:rPr>
          <w:rFonts w:ascii="Calibri" w:cs="Calibri" w:eastAsia="Calibri" w:hAnsi="Calibri"/>
          <w:b w:val="false"/>
          <w:bCs w:val="false"/>
          <w:i w:val="false"/>
          <w:iCs w:val="false"/>
          <w:color w:val="000000"/>
          <w:sz w:val="20"/>
          <w:szCs w:val="20"/>
        </w:rPr>
        <w:t xml:space="preserve">Formal accessibility complaints may be lodged with the U.S. Department of Justice (ADA) or the U.S. Access Board (Section 508) at www.access-board.gov.</w:t>
      </w:r>
    </w:p>
    <w:p>
      <w:pPr>
        <w:spacing w:after="100" w:before="0"/>
        <w:jc w:val="left"/>
      </w:pPr>
      <w:r>
        <w:rPr>
          <w:rFonts w:ascii="Calibri" w:cs="Calibri" w:eastAsia="Calibri" w:hAnsi="Calibri"/>
          <w:b/>
          <w:bCs/>
          <w:i w:val="false"/>
          <w:iCs w:val="false"/>
          <w:color w:val="000000"/>
          <w:sz w:val="20"/>
          <w:szCs w:val="20"/>
        </w:rPr>
        <w:t xml:space="preserve">Signed:</w:t>
      </w:r>
    </w:p>
    <w:p>
      <w:pPr>
        <w:spacing w:after="100" w:before="0"/>
        <w:jc w:val="left"/>
      </w:pPr>
      <w:r>
        <w:rPr>
          <w:rFonts w:ascii="Calibri" w:cs="Calibri" w:eastAsia="Calibri" w:hAnsi="Calibri"/>
          <w:b w:val="false"/>
          <w:bCs w:val="false"/>
          <w:i w:val="false"/>
          <w:iCs w:val="false"/>
          <w:color w:val="000000"/>
          <w:sz w:val="20"/>
          <w:szCs w:val="20"/>
        </w:rPr>
        <w:t xml:space="preserve"/>
      </w:r>
    </w:p>
    <w:p>
      <w:pPr>
        <w:spacing w:after="100" w:before="0"/>
        <w:jc w:val="left"/>
      </w:pPr>
      <w:r>
        <w:rPr>
          <w:rFonts w:ascii="Calibri" w:cs="Calibri" w:eastAsia="Calibri" w:hAnsi="Calibri"/>
          <w:b w:val="false"/>
          <w:bCs w:val="false"/>
          <w:i w:val="false"/>
          <w:iCs w:val="false"/>
          <w:color w:val="000000"/>
          <w:sz w:val="20"/>
          <w:szCs w:val="20"/>
        </w:rPr>
        <w:t xml:space="preserve"/>
      </w:r>
    </w:p>
    <w:p>
      <w:pPr>
        <w:spacing w:after="100" w:before="0"/>
        <w:jc w:val="left"/>
      </w:pPr>
      <w:r>
        <w:rPr>
          <w:rFonts w:ascii="Calibri" w:cs="Calibri" w:eastAsia="Calibri" w:hAnsi="Calibri"/>
          <w:b w:val="false"/>
          <w:bCs w:val="false"/>
          <w:i w:val="false"/>
          <w:iCs w:val="false"/>
          <w:color w:val="000000"/>
          <w:sz w:val="20"/>
          <w:szCs w:val="20"/>
        </w:rPr>
        <w:t xml:space="preserve">_________________________________</w:t>
      </w:r>
    </w:p>
    <w:p>
      <w:pPr>
        <w:spacing w:after="100" w:before="0"/>
        <w:jc w:val="left"/>
      </w:pPr>
      <w:r>
        <w:rPr>
          <w:rFonts w:ascii="Calibri" w:cs="Calibri" w:eastAsia="Calibri" w:hAnsi="Calibri"/>
          <w:b w:val="false"/>
          <w:bCs w:val="false"/>
          <w:i w:val="false"/>
          <w:iCs w:val="false"/>
          <w:color w:val="000000"/>
          <w:sz w:val="20"/>
          <w:szCs w:val="20"/>
        </w:rPr>
        <w:t xml:space="preserve">BGS Acme Retail Co.</w:t>
      </w:r>
    </w:p>
    <w:p>
      <w:pPr>
        <w:spacing w:after="100" w:before="0"/>
        <w:jc w:val="left"/>
      </w:pPr>
      <w:r>
        <w:rPr>
          <w:rFonts w:ascii="Calibri" w:cs="Calibri" w:eastAsia="Calibri" w:hAnsi="Calibri"/>
          <w:b w:val="false"/>
          <w:bCs w:val="false"/>
          <w:i w:val="false"/>
          <w:iCs w:val="false"/>
          <w:color w:val="000000"/>
          <w:sz w:val="20"/>
          <w:szCs w:val="20"/>
        </w:rPr>
        <w:t xml:space="preserve">Date: October 23, 2026</w:t>
      </w:r>
    </w:p>
    <w:sectPr>
      <w:headerReference w:type="default" r:id="rId7"/>
      <w:footerReference w:type="default" r:id="rId8"/>
      <w:pgSz w:w="11906" w:h="16838" w:orient="portrait"/>
      <w:pgMar w:top="1440" w:right="1727" w:bottom="1296" w:left="172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80"/>
    </w:pPr>
    <w:r>
      <w:rPr>
        <w:rFonts w:ascii="Calibri" w:cs="Calibri" w:eastAsia="Calibri" w:hAnsi="Calibri"/>
        <w:b w:val="false"/>
        <w:bCs w:val="false"/>
        <w:i/>
        <w:iCs/>
        <w:color w:val="AAAAAA"/>
        <w:sz w:val="14"/>
        <w:szCs w:val="14"/>
      </w:rPr>
      <w:t xml:space="preserve">© 2026 BGS Acme Retail Co.  |  Provided "as is" - does not constitute legal advice.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top w:val="none" w:color="FFFFFF" w:sz="0"/>
        <w:bottom w:val="single" w:color="CCCCCC" w:sz="4"/>
        <w:left w:val="none" w:color="FFFFFF" w:sz="0"/>
        <w:right w:val="none" w:color="FFFFFF" w:sz="0"/>
      </w:pBdr>
      <w:spacing w:after="80"/>
      <w:jc w:val="right"/>
    </w:pPr>
    <w:r>
      <w:rPr>
        <w:rFonts w:ascii="Calibri" w:cs="Calibri" w:eastAsia="Calibri" w:hAnsi="Calibri"/>
        <w:b w:val="false"/>
        <w:bCs w:val="false"/>
        <w:i w:val="false"/>
        <w:iCs w:val="false"/>
        <w:color w:val="555555"/>
        <w:sz w:val="16"/>
        <w:szCs w:val="16"/>
      </w:rPr>
      <w:t xml:space="preserve">Accessibility Statement  -  BGS Acme Retail Co.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84" w:hanging="142"/>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2026-10-23T10:42:12.300Z</dcterms:created>
  <dcterms:modified xsi:type="dcterms:W3CDTF">2026-10-23T10:42:12.300Z</dcterms:modified>
</cp:coreProperties>
</file>

<file path=docProps/custom.xml><?xml version="1.0" encoding="utf-8"?>
<Properties xmlns="http://schemas.openxmlformats.org/officeDocument/2006/custom-properties" xmlns:vt="http://schemas.openxmlformats.org/officeDocument/2006/docPropsVTypes"/>
</file>